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Default="00310D2F" w:rsidP="00BC4130">
      <w:pPr>
        <w:spacing w:after="0"/>
        <w:ind w:right="84"/>
        <w:jc w:val="left"/>
        <w:rPr>
          <w:rFonts w:ascii="Calibri" w:eastAsia="Times New Roman" w:hAnsi="Calibri" w:cs="Arial"/>
          <w:sz w:val="24"/>
          <w:szCs w:val="20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</w:t>
      </w:r>
      <w:r w:rsidR="00BC413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BC4130">
        <w:rPr>
          <w:rFonts w:ascii="Calibri" w:eastAsia="Times New Roman" w:hAnsi="Calibri" w:cs="Arial"/>
          <w:sz w:val="24"/>
          <w:szCs w:val="20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38.7pt" o:ole="" fillcolor="window">
            <v:imagedata r:id="rId7" o:title="" gain="69719f" grayscale="t" bilevel="t"/>
          </v:shape>
          <o:OLEObject Type="Embed" ProgID="Word.Picture.8" ShapeID="_x0000_i1025" DrawAspect="Content" ObjectID="_1604821298" r:id="rId8"/>
        </w:object>
      </w:r>
    </w:p>
    <w:p w:rsidR="00BC4130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sz w:val="24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       </w:t>
      </w:r>
      <w:r>
        <w:rPr>
          <w:rFonts w:ascii="Calibri" w:eastAsia="Calibri" w:hAnsi="Calibri" w:cs="Arial"/>
          <w:b/>
          <w:bCs/>
          <w:sz w:val="24"/>
          <w:szCs w:val="24"/>
          <w:lang w:val="en-US"/>
        </w:rPr>
        <w:t>E</w:t>
      </w:r>
      <w:r>
        <w:rPr>
          <w:rFonts w:ascii="Calibri" w:eastAsia="Calibri" w:hAnsi="Calibri" w:cs="Arial"/>
          <w:b/>
          <w:bCs/>
          <w:sz w:val="24"/>
          <w:szCs w:val="24"/>
        </w:rPr>
        <w:t>ΛΛΗΝΙΚΗ ΔΗΜΟΚΡΑΤΙΑ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Πάτρα</w:t>
      </w:r>
      <w:r w:rsidR="007420F8">
        <w:rPr>
          <w:rFonts w:ascii="Calibri" w:eastAsia="Times New Roman" w:hAnsi="Calibri" w:cs="Arial"/>
          <w:b/>
          <w:sz w:val="24"/>
          <w:szCs w:val="20"/>
          <w:lang w:eastAsia="el-GR"/>
        </w:rPr>
        <w:t>,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</w:t>
      </w:r>
      <w:r w:rsidR="007420F8">
        <w:rPr>
          <w:rFonts w:ascii="Calibri" w:eastAsia="Times New Roman" w:hAnsi="Calibri" w:cs="Arial"/>
          <w:b/>
          <w:sz w:val="24"/>
          <w:szCs w:val="20"/>
          <w:lang w:eastAsia="el-GR"/>
        </w:rPr>
        <w:t>27</w:t>
      </w:r>
      <w:r w:rsidR="00E97D17">
        <w:rPr>
          <w:rFonts w:ascii="Calibri" w:eastAsia="Times New Roman" w:hAnsi="Calibri" w:cs="Arial"/>
          <w:b/>
          <w:sz w:val="24"/>
          <w:szCs w:val="20"/>
          <w:lang w:eastAsia="el-GR"/>
        </w:rPr>
        <w:t>-11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-2018</w:t>
      </w:r>
    </w:p>
    <w:p w:rsidR="00BC4130" w:rsidRPr="00E97D17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        </w:t>
      </w:r>
      <w:r>
        <w:rPr>
          <w:rFonts w:ascii="Calibri" w:eastAsia="Calibri" w:hAnsi="Calibri" w:cs="Arial"/>
          <w:b/>
          <w:bCs/>
          <w:sz w:val="24"/>
          <w:szCs w:val="24"/>
        </w:rPr>
        <w:t>ΥΠΟΥΡΓΕΙΟ ΠΑΙΔΕΙΑΣ,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Αριθ. Πρωτ</w:t>
      </w:r>
      <w:r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. </w:t>
      </w:r>
      <w:r w:rsidR="00E97D17"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>Φ.63.2</w:t>
      </w:r>
      <w:r w:rsidRPr="00EE0E72">
        <w:rPr>
          <w:rFonts w:ascii="Calibri" w:eastAsia="Times New Roman" w:hAnsi="Calibri" w:cs="Arial"/>
          <w:b/>
          <w:sz w:val="24"/>
          <w:szCs w:val="20"/>
          <w:lang w:eastAsia="el-GR"/>
        </w:rPr>
        <w:t>/</w:t>
      </w:r>
      <w:r w:rsidR="007420F8">
        <w:rPr>
          <w:rFonts w:ascii="Calibri" w:eastAsia="Times New Roman" w:hAnsi="Calibri" w:cs="Arial"/>
          <w:b/>
          <w:sz w:val="24"/>
          <w:szCs w:val="20"/>
          <w:lang w:eastAsia="el-GR"/>
        </w:rPr>
        <w:t>14062</w:t>
      </w:r>
    </w:p>
    <w:p w:rsidR="00BC4130" w:rsidRDefault="00BC4130" w:rsidP="00BC4130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sz w:val="24"/>
          <w:szCs w:val="2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ΕΡΕΥΝΑΣ ΚΑΙ ΘΡΗΣΚΕΥΜΑΤΩΝ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</w:t>
      </w:r>
      <w:r>
        <w:rPr>
          <w:rFonts w:ascii="Calibri" w:eastAsia="Times New Roman" w:hAnsi="Calibri" w:cs="Arial"/>
          <w:b/>
          <w:color w:val="FF0000"/>
          <w:sz w:val="20"/>
          <w:szCs w:val="20"/>
          <w:lang w:eastAsia="el-GR"/>
        </w:rPr>
        <w:t xml:space="preserve">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/>
          <w:lang w:eastAsia="el-GR"/>
        </w:rPr>
        <w:t>ΠΕΡΙΦΕΡΕΙΑΚΗ Δ/ΝΣΗ Π/ΘΜΙΑΣ &amp; Δ/ΘΜΙΑΣ</w:t>
      </w:r>
    </w:p>
    <w:p w:rsidR="00BC4130" w:rsidRDefault="00BC4130" w:rsidP="00BC4130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ΕΚΠΑΙΔΕΥΣΗΣ ΔΥΤΙΚΗΣ ΕΛΛΑΔΑΣ</w:t>
      </w:r>
    </w:p>
    <w:p w:rsidR="00BC4130" w:rsidRDefault="00BC4130" w:rsidP="00BC4130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ΑΥΤΟΤΕΛΗΣ ΔΙΕΥΘΥΝΣΗ ΔΙΟΙΚΗΤΙΚΗΣ, </w:t>
      </w:r>
    </w:p>
    <w:p w:rsidR="00BC4130" w:rsidRDefault="00BC4130" w:rsidP="00BC4130">
      <w:pPr>
        <w:spacing w:after="0"/>
        <w:jc w:val="left"/>
        <w:rPr>
          <w:rFonts w:ascii="Calibri" w:eastAsia="Calibri" w:hAnsi="Calibri" w:cs="Arial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ΟΙΚΟΝΟΜΙΚΗΣ ΚΑΙ ΠΑΙΔΑΓΩΓΙΚΗΣ</w:t>
      </w: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</w:t>
      </w:r>
    </w:p>
    <w:p w:rsidR="00BC4130" w:rsidRDefault="00BC4130" w:rsidP="00BC4130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                             ΥΠΟΣΤΗΡΙΞΗΣ</w:t>
      </w:r>
    </w:p>
    <w:p w:rsidR="001444D0" w:rsidRDefault="007420F8" w:rsidP="00166EB5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DB0C" wp14:editId="39512CA8">
                <wp:simplePos x="0" y="0"/>
                <wp:positionH relativeFrom="column">
                  <wp:posOffset>2973070</wp:posOffset>
                </wp:positionH>
                <wp:positionV relativeFrom="paragraph">
                  <wp:posOffset>24765</wp:posOffset>
                </wp:positionV>
                <wp:extent cx="2311400" cy="853440"/>
                <wp:effectExtent l="0" t="0" r="0" b="381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EB5" w:rsidRDefault="00166EB5" w:rsidP="00166EB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66EB5" w:rsidRPr="007420F8" w:rsidRDefault="00166EB5" w:rsidP="007420F8">
                            <w:pPr>
                              <w:spacing w:line="360" w:lineRule="auto"/>
                              <w:jc w:val="both"/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166EB5" w:rsidRDefault="00166EB5" w:rsidP="00166EB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5DB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4.1pt;margin-top:1.95pt;width:18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" stroked="f">
                <v:textbox>
                  <w:txbxContent>
                    <w:p w:rsidR="00166EB5" w:rsidRDefault="00166EB5" w:rsidP="00166EB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166EB5" w:rsidRPr="007420F8" w:rsidRDefault="00166EB5" w:rsidP="007420F8">
                      <w:pPr>
                        <w:spacing w:line="360" w:lineRule="auto"/>
                        <w:jc w:val="both"/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166EB5" w:rsidRDefault="00166EB5" w:rsidP="00166EB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68910" wp14:editId="29C4F5AB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F8F991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166EB5" w:rsidRDefault="00166EB5" w:rsidP="00166EB5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Ταχ.Διεύθυνση : Ακτή Δυμαίων 25Α</w: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Ταχ.Κώδικας    : 262 22 ΠΑΤΡΑ</w:t>
      </w:r>
    </w:p>
    <w:p w:rsidR="00166EB5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Ταχ.Θυρίδα      : 2540 </w:t>
      </w:r>
    </w:p>
    <w:p w:rsidR="007420F8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Πληροφορίες    :</w:t>
      </w:r>
      <w:r w:rsidR="007420F8">
        <w:rPr>
          <w:rFonts w:ascii="Arial" w:eastAsia="Times New Roman" w:hAnsi="Arial" w:cs="Arial"/>
          <w:sz w:val="18"/>
          <w:szCs w:val="18"/>
          <w:lang w:eastAsia="el-GR"/>
        </w:rPr>
        <w:t xml:space="preserve"> Δαββέτα Έλενα</w:t>
      </w:r>
    </w:p>
    <w:p w:rsidR="007420F8" w:rsidRDefault="007420F8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</w:t>
      </w:r>
      <w:r w:rsidR="00166EB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l-GR"/>
        </w:rPr>
        <w:t>Κουρτέσης Ηλίας</w:t>
      </w:r>
    </w:p>
    <w:p w:rsidR="00166EB5" w:rsidRDefault="007420F8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r w:rsidR="00D27398">
        <w:rPr>
          <w:rFonts w:ascii="Arial" w:eastAsia="Times New Roman" w:hAnsi="Arial" w:cs="Arial"/>
          <w:sz w:val="18"/>
          <w:szCs w:val="18"/>
          <w:lang w:eastAsia="el-GR"/>
        </w:rPr>
        <w:t xml:space="preserve">Χριστοπούλου Π. Σοφία                           </w:t>
      </w:r>
    </w:p>
    <w:p w:rsidR="00166EB5" w:rsidRPr="007420F8" w:rsidRDefault="00166EB5" w:rsidP="00166EB5">
      <w:pPr>
        <w:spacing w:after="0"/>
        <w:jc w:val="left"/>
        <w:rPr>
          <w:rFonts w:ascii="Arial" w:eastAsia="Times New Roman" w:hAnsi="Arial" w:cs="Arial"/>
          <w:sz w:val="18"/>
          <w:szCs w:val="18"/>
          <w:lang w:val="de-DE"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="00D27398" w:rsidRPr="007420F8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: 2610-362403, 411</w:t>
      </w:r>
    </w:p>
    <w:p w:rsidR="00166EB5" w:rsidRPr="007420F8" w:rsidRDefault="00166EB5" w:rsidP="00166EB5">
      <w:pPr>
        <w:spacing w:after="0"/>
        <w:jc w:val="both"/>
        <w:rPr>
          <w:rFonts w:ascii="Arial" w:eastAsia="Times New Roman" w:hAnsi="Arial" w:cs="Arial"/>
          <w:sz w:val="18"/>
          <w:szCs w:val="18"/>
          <w:lang w:val="de-DE" w:eastAsia="el-GR"/>
        </w:rPr>
      </w:pPr>
      <w:r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7420F8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           : 2610-362410</w:t>
      </w:r>
    </w:p>
    <w:p w:rsidR="00166EB5" w:rsidRPr="007420F8" w:rsidRDefault="00166EB5" w:rsidP="00166EB5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7420F8">
        <w:rPr>
          <w:rFonts w:ascii="Arial" w:eastAsia="Times New Roman" w:hAnsi="Arial" w:cs="Arial"/>
          <w:sz w:val="18"/>
          <w:szCs w:val="18"/>
          <w:lang w:val="de-DE" w:eastAsia="el-GR"/>
        </w:rPr>
        <w:t>-</w:t>
      </w:r>
      <w:r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7420F8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       : </w:t>
      </w:r>
      <w:hyperlink r:id="rId9" w:history="1"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mail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@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dellad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pde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sch</w:t>
        </w:r>
        <w:r w:rsidRPr="007420F8"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.</w:t>
        </w:r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gr</w:t>
        </w:r>
      </w:hyperlink>
      <w:r w:rsidRPr="007420F8">
        <w:rPr>
          <w:rFonts w:ascii="Arial" w:eastAsia="Times New Roman" w:hAnsi="Arial" w:cs="Arial"/>
          <w:sz w:val="20"/>
          <w:szCs w:val="20"/>
          <w:lang w:val="de-DE" w:eastAsia="el-GR"/>
        </w:rPr>
        <w:t xml:space="preserve">  </w:t>
      </w:r>
      <w:r w:rsidRPr="007420F8">
        <w:rPr>
          <w:rFonts w:ascii="Calibri" w:eastAsia="Times New Roman" w:hAnsi="Calibri" w:cs="Calibri"/>
          <w:sz w:val="20"/>
          <w:szCs w:val="20"/>
          <w:lang w:val="de-DE" w:eastAsia="el-GR"/>
        </w:rPr>
        <w:t xml:space="preserve">                                                                                                                                                   </w:t>
      </w:r>
    </w:p>
    <w:p w:rsidR="00833F83" w:rsidRPr="007420F8" w:rsidRDefault="00833F83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</w:p>
    <w:p w:rsidR="002E11AE" w:rsidRPr="007420F8" w:rsidRDefault="002E11AE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</w:p>
    <w:p w:rsidR="00166EB5" w:rsidRDefault="00166EB5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ΘΕΜΑ: «Έγκριση επιμορφωτικ</w:t>
      </w:r>
      <w:r w:rsidR="00D27398">
        <w:rPr>
          <w:rFonts w:ascii="Times New Roman" w:eastAsia="Times New Roman" w:hAnsi="Times New Roman" w:cs="Times New Roman"/>
          <w:b/>
          <w:bCs/>
          <w:lang w:eastAsia="el-GR"/>
        </w:rPr>
        <w:t>ής συνάντησης</w:t>
      </w:r>
      <w:r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166EB5" w:rsidRDefault="00166EB5" w:rsidP="00166EB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482234" w:rsidRPr="00632E7F" w:rsidRDefault="00482234" w:rsidP="004822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632E7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Έχοντας υπόψη:</w:t>
      </w:r>
    </w:p>
    <w:p w:rsidR="00482234" w:rsidRPr="00632E7F" w:rsidRDefault="00482234" w:rsidP="004822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Τις διατάξεις του Ν. 1566/1985 (ΦΕΚ 167/τ.Α΄/30-09-1985) περί Δομής και Λειτουργίας της Π/θμιας και Δ/θμιας Εκπ/σης</w:t>
      </w:r>
    </w:p>
    <w:p w:rsidR="00482234" w:rsidRPr="007420F8" w:rsidRDefault="00482234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Τις διατάξεις του άρθρου 1, παρ. 1, εδάφ. α΄ του Ν. 2986/13-02-2002 (ΦΕΚ 24/ τ. Α΄)</w:t>
      </w: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Την υπ’ αρ. Φ.353.1/324/105657/Δ1/8-10-2002 Απόφαση του Υπουργού Εθνικής Παιδείας και Θρησκευμάτων (ΦΕΚ 1340/τ.Β΄/16-10-2002) «Καθορισμός των ειδικότερων καθηκόντων και αρμοδιοτήτων των προϊσταμένων των περιφερειακών υπηρεσιών…και των συλλόγων διδασκόντων»</w:t>
      </w:r>
    </w:p>
    <w:p w:rsidR="00DE0E6A" w:rsidRPr="007420F8" w:rsidRDefault="00DE0E6A" w:rsidP="007420F8">
      <w:pPr>
        <w:pStyle w:val="a7"/>
        <w:numPr>
          <w:ilvl w:val="0"/>
          <w:numId w:val="4"/>
        </w:numPr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 xml:space="preserve">Τις διατάξεις του Ν. 4186/2013 (ΦΕΚ 193/τ.Α΄/17-09-2013) με θέμα «Αναδιάρθρωση της Δευτεροβάθμιας Εκπαίδευσης και λοιπές διατάξεις» και τις τροποποιήσεις αυτού  </w:t>
      </w:r>
    </w:p>
    <w:p w:rsidR="00482234" w:rsidRPr="007420F8" w:rsidRDefault="00482234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DD525B" w:rsidRPr="007420F8" w:rsidRDefault="00DE0E6A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  <w:color w:val="FF0000"/>
        </w:rPr>
      </w:pPr>
      <w:r w:rsidRPr="007420F8">
        <w:rPr>
          <w:rFonts w:eastAsia="Times New Roman" w:cstheme="minorHAnsi"/>
          <w:lang w:eastAsia="el-GR"/>
        </w:rPr>
        <w:t>Την υπ’ αρ. 10645/ΓΔ4/22-01-2018 (ΦΕΚ 120/τ.Β΄/23-01-2018) Υ.Α. με θέμα «Εγγραφές, μετεγγραφές, φοίτηση και θέματα οργάνωσης της σχολικής ζωής στα σχολεία της δευτεροβάθμιας εκπαίδευσης», όπως τροποποιήθηκε, συμπληρώθηκε και ισχύει</w:t>
      </w:r>
    </w:p>
    <w:p w:rsidR="00DD525B" w:rsidRPr="007420F8" w:rsidRDefault="00DD525B" w:rsidP="007420F8">
      <w:pPr>
        <w:pStyle w:val="a7"/>
        <w:numPr>
          <w:ilvl w:val="0"/>
          <w:numId w:val="4"/>
        </w:numPr>
        <w:tabs>
          <w:tab w:val="clear" w:pos="900"/>
          <w:tab w:val="num" w:pos="540"/>
        </w:tabs>
        <w:spacing w:after="200" w:line="276" w:lineRule="auto"/>
        <w:ind w:right="-618" w:hanging="357"/>
        <w:jc w:val="both"/>
        <w:rPr>
          <w:rFonts w:eastAsia="Times New Roman" w:cstheme="minorHAnsi"/>
          <w:color w:val="FF0000"/>
        </w:rPr>
      </w:pPr>
      <w:r w:rsidRPr="007420F8">
        <w:rPr>
          <w:rFonts w:eastAsia="Times New Roman" w:cstheme="minorHAnsi"/>
          <w:lang w:eastAsia="el-GR"/>
        </w:rPr>
        <w:t>Το Π.Δ. 18/2018 (ΦΕΚ 31/τ.Α/23-02-2018) με θέμα «Οργανισμός Υπουργείου Παιδείας, Έρευνας και Θρησκευμάτων»</w:t>
      </w:r>
    </w:p>
    <w:p w:rsidR="00DD525B" w:rsidRPr="007420F8" w:rsidRDefault="00482234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</w:rPr>
        <w:t>Την υπ’ αρ. Φ.350.2/1/32958/Ε3/27-02-2018 (ΑΔΑ: 6Π414653ΠΣ-7ΕΝ) Υ.Α. με θέμα «Τοποθέτηση Περιφερειακών Διευθυντών Εκπαίδευσης».</w:t>
      </w:r>
    </w:p>
    <w:p w:rsidR="0030632B" w:rsidRPr="007420F8" w:rsidRDefault="00DD525B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>Τις διατάξεις του Ν.4547/2018 (ΦΕΚ 102/τ.Α΄/12-06-2018) με θέμα «Αναδιοργάνωση των δομών υποστήριξης της πρωτοβάθμιας και δευτεροβάθμιας εκπαίδευσης και άλλες διατάξεις»</w:t>
      </w:r>
    </w:p>
    <w:p w:rsidR="003A7E72" w:rsidRPr="007420F8" w:rsidRDefault="003A7E72" w:rsidP="007420F8">
      <w:pPr>
        <w:numPr>
          <w:ilvl w:val="0"/>
          <w:numId w:val="1"/>
        </w:numPr>
        <w:tabs>
          <w:tab w:val="clear" w:pos="900"/>
          <w:tab w:val="num" w:pos="567"/>
        </w:tabs>
        <w:spacing w:after="0"/>
        <w:ind w:left="851"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>Την υπ’ αρ. Φ.351.1 /3/100766/Ε3/19-06-2018 (ΦΕΚ 2316/τ.Β΄/19-06-2018) Υ.Α. με θέμα «Κατανομή των θέσεων Συντονιστών Εκπαιδευτικού Έργου στα Περιφερειακά Κέντρα Εκπαιδευτικού Σχεδιασμού (Π.Ε.Κ.Ε.Σ.) κατά κλάδο και ανά</w:t>
      </w:r>
      <w:r w:rsidR="00F5332E" w:rsidRPr="007420F8">
        <w:rPr>
          <w:rFonts w:eastAsia="Times New Roman" w:cstheme="minorHAnsi"/>
          <w:lang w:eastAsia="el-GR"/>
        </w:rPr>
        <w:t>θεση επιστημονικής ευθύνης»</w:t>
      </w:r>
    </w:p>
    <w:p w:rsidR="00D31C35" w:rsidRPr="007420F8" w:rsidRDefault="00D31C35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>Την υπ’ αρ. Φ.32.1/10841/25-09-2018 (ΑΔΑ: Ψ4ΤΞ4653ΠΣ-57Β) απόφαση του Περιφερειακού Δ/ντή Π/θμιας και Δ/θμιας Εκπ/σης Δυτικής Ελλάδας με θέμα «Τοποθέτηση Συντονιστών Εκπαιδευτικού Έργου στο ΠΕΚΕΣ Δυτικής Ελλάδας»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lastRenderedPageBreak/>
        <w:t>Την υπ’ αρ. 158733/ΓΔ4/24-09-2018 (ΦΕΚ 4299/τ.Β΄/27-09-2018) Υ.Α. με θέμα «Ενιαίος Κανονισμός Λειτουργίας των Περιφερειακών Κέντρων Εκπαιδευτικού Σχεδιασμού (ΠΕ.Κ.Ε.Σ.) και ειδικότερα καθήκοντα και αρμοδιότητες των Συντονιστών Εκπαιδευτικού Έργου»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>Την υπ’ αρ. Φ.351.1/47/166139/Ε3/05-10-2018 Υ.Α. (Ανακοινοποίηση στο ορθό 08-10-2018) (ΑΔΑ: 730Α4653ΠΣ-ΒΕ6) με θέμα «Ορισμός και τοποθέτηση των Οργανωτικών Συντονιστών των Περιφερειακών Κέντρων Εκπαιδευτικού Σχεδιασμού (ΠΕ.Κ.Ε.Σ.) των Περιφερειακών Διευθύνσεων Εκπαίδευσης»</w:t>
      </w:r>
    </w:p>
    <w:p w:rsidR="00052741" w:rsidRPr="007420F8" w:rsidRDefault="000527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>Την υπ’ αρ. Φ.351.1/ 49/167596/E3/08-10-2018 (ΦΕΚ 4511/ τ. Β΄/15-10-2018) Υ.Α. με θέμα «Παύση της λειτουργίας υπηρεσιών και οργανικών μονάδων και έναρξη της πλήρους λειτουργίας των Περιφερειακών Κέντρων Εκπαιδευτικού Σχεδιασμού (ΠΕ.Κ.Ε.Σ.)»</w:t>
      </w:r>
    </w:p>
    <w:p w:rsidR="00337041" w:rsidRDefault="00337041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 w:rsidRPr="007420F8">
        <w:rPr>
          <w:rFonts w:eastAsia="Times New Roman" w:cstheme="minorHAnsi"/>
          <w:lang w:eastAsia="el-GR"/>
        </w:rPr>
        <w:t>Την υπ’ αρ.</w:t>
      </w:r>
      <w:r w:rsidRPr="007420F8">
        <w:rPr>
          <w:rFonts w:cstheme="minorHAnsi"/>
        </w:rPr>
        <w:t xml:space="preserve"> </w:t>
      </w:r>
      <w:r w:rsidRPr="007420F8">
        <w:rPr>
          <w:rFonts w:eastAsia="Times New Roman" w:cstheme="minorHAnsi"/>
          <w:lang w:eastAsia="el-GR"/>
        </w:rPr>
        <w:t xml:space="preserve">Φ.63/12890/02-11-2018 </w:t>
      </w:r>
      <w:r w:rsidR="00E06947" w:rsidRPr="007420F8">
        <w:rPr>
          <w:rFonts w:eastAsia="Times New Roman" w:cstheme="minorHAnsi"/>
          <w:lang w:eastAsia="el-GR"/>
        </w:rPr>
        <w:t>(Ε</w:t>
      </w:r>
      <w:r w:rsidRPr="007420F8">
        <w:rPr>
          <w:rFonts w:eastAsia="Times New Roman" w:cstheme="minorHAnsi"/>
          <w:lang w:eastAsia="el-GR"/>
        </w:rPr>
        <w:t>πανάληψη</w:t>
      </w:r>
      <w:r w:rsidR="00E06947" w:rsidRPr="007420F8">
        <w:rPr>
          <w:rFonts w:eastAsia="Times New Roman" w:cstheme="minorHAnsi"/>
          <w:lang w:eastAsia="el-GR"/>
        </w:rPr>
        <w:t xml:space="preserve"> στο ορθό</w:t>
      </w:r>
      <w:r w:rsidRPr="007420F8">
        <w:rPr>
          <w:rFonts w:eastAsia="Times New Roman" w:cstheme="minorHAnsi"/>
          <w:lang w:eastAsia="el-GR"/>
        </w:rPr>
        <w:t xml:space="preserve"> 05-11-2018)</w:t>
      </w:r>
      <w:r w:rsidR="003B74C2" w:rsidRPr="007420F8">
        <w:rPr>
          <w:rFonts w:eastAsia="Times New Roman" w:cstheme="minorHAnsi"/>
          <w:lang w:eastAsia="el-GR"/>
        </w:rPr>
        <w:t xml:space="preserve"> (ΑΔΑ:</w:t>
      </w:r>
      <w:r w:rsidR="00CD6F34" w:rsidRPr="007420F8">
        <w:rPr>
          <w:rFonts w:eastAsia="Times New Roman" w:cstheme="minorHAnsi"/>
          <w:lang w:eastAsia="el-GR"/>
        </w:rPr>
        <w:t xml:space="preserve"> </w:t>
      </w:r>
      <w:r w:rsidR="003B74C2" w:rsidRPr="007420F8">
        <w:rPr>
          <w:rFonts w:eastAsia="Times New Roman" w:cstheme="minorHAnsi"/>
          <w:lang w:eastAsia="el-GR"/>
        </w:rPr>
        <w:t>ΩΦΝΟ4653ΠΣ-ΙΛΘ)</w:t>
      </w:r>
      <w:r w:rsidRPr="007420F8">
        <w:rPr>
          <w:rFonts w:eastAsia="Times New Roman" w:cstheme="minorHAnsi"/>
          <w:lang w:eastAsia="el-GR"/>
        </w:rPr>
        <w:t xml:space="preserve"> απόφαση του Περιφερειακού Δ/ντή Π/θμιας και Δ/θμιας Εκπ/σης Δυτικής Ελλάδας με θέμα «Ανάθεση Επιστημονικής και Παιδαγωγικής ευθύνης Σχολικών Μονάδων, Π/θμιας και Δ/θμιας Εκπ/σης, Ε.Κ. και Κ.Ε.Α στους Συντονιστές Εκπαιδευτικού Έργου του ΠΕΚΕΣ Δυτ. Ελλάδας»</w:t>
      </w:r>
    </w:p>
    <w:p w:rsidR="007D493E" w:rsidRPr="007420F8" w:rsidRDefault="007D493E" w:rsidP="007420F8">
      <w:pPr>
        <w:numPr>
          <w:ilvl w:val="0"/>
          <w:numId w:val="1"/>
        </w:numPr>
        <w:spacing w:after="0"/>
        <w:ind w:right="-618" w:hanging="357"/>
        <w:contextualSpacing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Την υπ’ αριθ. Φ32.2/14035/26-11-2018 (ΑΔΑ: 6Ψ4Ρ4653ΠΣ-Γ3Ρ) απόφαση της Περιφερειακής Δ/νσης Π/θμιας και Δ/θμιας Εκπ/σης Δυτικής Ελλάδας με θέμα: «</w:t>
      </w:r>
      <w:r w:rsidRPr="007D493E">
        <w:rPr>
          <w:rFonts w:eastAsia="Times New Roman" w:cstheme="minorHAnsi"/>
          <w:lang w:eastAsia="el-GR"/>
        </w:rPr>
        <w:t>Τοποθέτηση Προϊσταμένων στα Κέντρα Εκπαιδευτικής και Συμβουλευτικής Υποστήριξης (Κ.Ε.Σ.Υ.) της Περιφερειακής Διεύθυνσης Εκπαίδευσης Δυτικής Ελλάδας»</w:t>
      </w:r>
    </w:p>
    <w:p w:rsidR="006D4F73" w:rsidRPr="007420F8" w:rsidRDefault="006D4F73" w:rsidP="007420F8">
      <w:pPr>
        <w:pStyle w:val="a7"/>
        <w:numPr>
          <w:ilvl w:val="0"/>
          <w:numId w:val="1"/>
        </w:numPr>
        <w:spacing w:after="0" w:line="276" w:lineRule="auto"/>
        <w:ind w:right="-618" w:hanging="357"/>
        <w:jc w:val="both"/>
        <w:rPr>
          <w:rFonts w:eastAsia="Times New Roman" w:cstheme="minorHAnsi"/>
        </w:rPr>
      </w:pPr>
      <w:r w:rsidRPr="007420F8">
        <w:rPr>
          <w:rFonts w:eastAsia="Times New Roman" w:cstheme="minorHAnsi"/>
          <w:lang w:eastAsia="el-GR"/>
        </w:rPr>
        <w:t xml:space="preserve">Το υπ’ αρ. </w:t>
      </w:r>
      <w:r w:rsidR="007D493E">
        <w:rPr>
          <w:rFonts w:eastAsia="Times New Roman" w:cstheme="minorHAnsi"/>
          <w:lang w:eastAsia="el-GR"/>
        </w:rPr>
        <w:t>109</w:t>
      </w:r>
      <w:r w:rsidR="000967F5" w:rsidRPr="007420F8">
        <w:rPr>
          <w:rFonts w:eastAsia="Times New Roman" w:cstheme="minorHAnsi"/>
          <w:lang w:eastAsia="el-GR"/>
        </w:rPr>
        <w:t>/</w:t>
      </w:r>
      <w:r w:rsidR="007D493E">
        <w:rPr>
          <w:rFonts w:eastAsia="Times New Roman" w:cstheme="minorHAnsi"/>
          <w:lang w:eastAsia="el-GR"/>
        </w:rPr>
        <w:t>26</w:t>
      </w:r>
      <w:r w:rsidR="000967F5" w:rsidRPr="007420F8">
        <w:rPr>
          <w:rFonts w:eastAsia="Times New Roman" w:cstheme="minorHAnsi"/>
          <w:lang w:eastAsia="el-GR"/>
        </w:rPr>
        <w:t>-11-2018</w:t>
      </w:r>
      <w:r w:rsidR="00AB1630" w:rsidRPr="007420F8">
        <w:rPr>
          <w:rFonts w:eastAsia="Times New Roman" w:cstheme="minorHAnsi"/>
          <w:lang w:eastAsia="el-GR"/>
        </w:rPr>
        <w:t xml:space="preserve"> </w:t>
      </w:r>
      <w:r w:rsidRPr="007420F8">
        <w:rPr>
          <w:rFonts w:eastAsia="Times New Roman" w:cstheme="minorHAnsi"/>
          <w:lang w:eastAsia="el-GR"/>
        </w:rPr>
        <w:t xml:space="preserve">έγγραφο του </w:t>
      </w:r>
      <w:r w:rsidR="000967F5" w:rsidRPr="007420F8">
        <w:rPr>
          <w:rFonts w:eastAsia="Times New Roman" w:cstheme="minorHAnsi"/>
          <w:lang w:eastAsia="el-GR"/>
        </w:rPr>
        <w:t xml:space="preserve">Οργανωτικού Συντονιστή του ΠΕ.Κ.Ε.Σ. Δυτικής Ελλάδας, με το οποίο διαβιβάστηκε στην υπηρεσία μας το ταυτάριθμο αίτημα </w:t>
      </w:r>
      <w:r w:rsidR="00EA182D" w:rsidRPr="007420F8">
        <w:rPr>
          <w:rFonts w:eastAsia="Times New Roman" w:cstheme="minorHAnsi"/>
          <w:lang w:eastAsia="el-GR"/>
        </w:rPr>
        <w:t xml:space="preserve">για έγκριση επιμορφωτικής συνάντησης του Συντονιστή Εκπαιδευτικού Έργου </w:t>
      </w:r>
      <w:r w:rsidR="007D493E">
        <w:rPr>
          <w:rFonts w:eastAsia="Times New Roman" w:cstheme="minorHAnsi"/>
          <w:lang w:eastAsia="el-GR"/>
        </w:rPr>
        <w:t>ΕΑΕΕ</w:t>
      </w:r>
      <w:r w:rsidR="00EA182D" w:rsidRPr="007420F8">
        <w:rPr>
          <w:rFonts w:eastAsia="Times New Roman" w:cstheme="minorHAnsi"/>
          <w:lang w:eastAsia="el-GR"/>
        </w:rPr>
        <w:t xml:space="preserve"> του ΠΕ.Κ.Ε.Σ. Δυτικής Ελλάδας, κ. </w:t>
      </w:r>
      <w:r w:rsidR="007D493E">
        <w:rPr>
          <w:rFonts w:eastAsia="Times New Roman" w:cstheme="minorHAnsi"/>
          <w:lang w:eastAsia="el-GR"/>
        </w:rPr>
        <w:t>Ζησιμόπουλου Δημητρίου</w:t>
      </w:r>
    </w:p>
    <w:p w:rsidR="009116A3" w:rsidRPr="00632E7F" w:rsidRDefault="009116A3" w:rsidP="0027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</w:p>
    <w:p w:rsidR="00166EB5" w:rsidRPr="007D493E" w:rsidRDefault="00166EB5" w:rsidP="00166EB5">
      <w:pPr>
        <w:spacing w:after="0" w:line="360" w:lineRule="auto"/>
        <w:ind w:firstLine="150"/>
        <w:rPr>
          <w:rFonts w:eastAsia="Times New Roman" w:cstheme="minorHAnsi"/>
          <w:b/>
          <w:bCs/>
          <w:spacing w:val="24"/>
          <w:sz w:val="24"/>
          <w:szCs w:val="24"/>
          <w:lang w:eastAsia="el-GR"/>
        </w:rPr>
      </w:pPr>
      <w:r w:rsidRPr="007D493E">
        <w:rPr>
          <w:rFonts w:eastAsia="Times New Roman" w:cstheme="minorHAnsi"/>
          <w:b/>
          <w:bCs/>
          <w:spacing w:val="24"/>
          <w:sz w:val="24"/>
          <w:szCs w:val="24"/>
          <w:lang w:eastAsia="el-GR"/>
        </w:rPr>
        <w:t>Εγκρίνουμε</w:t>
      </w:r>
    </w:p>
    <w:p w:rsidR="00166EB5" w:rsidRPr="00A93BE0" w:rsidRDefault="00166EB5" w:rsidP="00F21F34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6115" w:rsidRDefault="00166EB5" w:rsidP="007D493E">
      <w:pPr>
        <w:spacing w:after="0" w:line="360" w:lineRule="auto"/>
        <w:ind w:left="284" w:right="-806"/>
        <w:jc w:val="both"/>
        <w:rPr>
          <w:rFonts w:cstheme="minorHAnsi"/>
          <w:sz w:val="24"/>
          <w:szCs w:val="24"/>
        </w:rPr>
      </w:pPr>
      <w:r w:rsidRPr="007D493E">
        <w:rPr>
          <w:rFonts w:cstheme="minorHAnsi"/>
          <w:sz w:val="24"/>
          <w:szCs w:val="24"/>
        </w:rPr>
        <w:t xml:space="preserve">την πραγματοποίηση </w:t>
      </w:r>
      <w:r w:rsidR="005F6172">
        <w:rPr>
          <w:rFonts w:cstheme="minorHAnsi"/>
          <w:sz w:val="24"/>
          <w:szCs w:val="24"/>
        </w:rPr>
        <w:t xml:space="preserve">της </w:t>
      </w:r>
      <w:r w:rsidRPr="007D493E">
        <w:rPr>
          <w:rFonts w:cstheme="minorHAnsi"/>
          <w:sz w:val="24"/>
          <w:szCs w:val="24"/>
        </w:rPr>
        <w:t>επιμορφωτικ</w:t>
      </w:r>
      <w:r w:rsidR="00FA5A82" w:rsidRPr="007D493E">
        <w:rPr>
          <w:rFonts w:cstheme="minorHAnsi"/>
          <w:sz w:val="24"/>
          <w:szCs w:val="24"/>
        </w:rPr>
        <w:t>ής συνάντησης</w:t>
      </w:r>
      <w:r w:rsidR="009F51C9" w:rsidRPr="007D493E">
        <w:rPr>
          <w:rFonts w:cstheme="minorHAnsi"/>
          <w:sz w:val="24"/>
          <w:szCs w:val="24"/>
        </w:rPr>
        <w:t xml:space="preserve"> </w:t>
      </w:r>
      <w:r w:rsidR="00C01AC6" w:rsidRPr="007D493E">
        <w:rPr>
          <w:rFonts w:cstheme="minorHAnsi"/>
          <w:sz w:val="24"/>
          <w:szCs w:val="24"/>
        </w:rPr>
        <w:t>του</w:t>
      </w:r>
      <w:r w:rsidR="00CB3896" w:rsidRPr="007D493E">
        <w:rPr>
          <w:rFonts w:cstheme="minorHAnsi"/>
          <w:sz w:val="24"/>
          <w:szCs w:val="24"/>
        </w:rPr>
        <w:t xml:space="preserve"> Σ</w:t>
      </w:r>
      <w:r w:rsidR="00FA5A82" w:rsidRPr="007D493E">
        <w:rPr>
          <w:rFonts w:cstheme="minorHAnsi"/>
          <w:sz w:val="24"/>
          <w:szCs w:val="24"/>
        </w:rPr>
        <w:t xml:space="preserve">υντονιστή Εκπαιδευτικού Έργου </w:t>
      </w:r>
      <w:r w:rsidR="005F6172">
        <w:rPr>
          <w:rFonts w:cstheme="minorHAnsi"/>
          <w:sz w:val="24"/>
          <w:szCs w:val="24"/>
        </w:rPr>
        <w:t>Ε.Α.Ε.Ε.</w:t>
      </w:r>
      <w:r w:rsidR="00FA5A82" w:rsidRPr="007D493E">
        <w:rPr>
          <w:rFonts w:cstheme="minorHAnsi"/>
          <w:sz w:val="24"/>
          <w:szCs w:val="24"/>
        </w:rPr>
        <w:t xml:space="preserve"> κ. </w:t>
      </w:r>
      <w:r w:rsidR="005F6172">
        <w:rPr>
          <w:rFonts w:cstheme="minorHAnsi"/>
          <w:sz w:val="24"/>
          <w:szCs w:val="24"/>
        </w:rPr>
        <w:t>Ζησιμόπουλου Δημητρίου</w:t>
      </w:r>
      <w:r w:rsidR="00505E8B">
        <w:rPr>
          <w:rFonts w:cstheme="minorHAnsi"/>
          <w:sz w:val="24"/>
          <w:szCs w:val="24"/>
        </w:rPr>
        <w:t xml:space="preserve"> με θέμα «Επιμόρφωση εκπαιδευτικών Παράλληλης Στήριξης»</w:t>
      </w:r>
      <w:r w:rsidR="00CB3896" w:rsidRPr="007D493E">
        <w:rPr>
          <w:rFonts w:cstheme="minorHAnsi"/>
          <w:sz w:val="24"/>
          <w:szCs w:val="24"/>
        </w:rPr>
        <w:t xml:space="preserve">, </w:t>
      </w:r>
      <w:r w:rsidR="00E951B3" w:rsidRPr="007D493E">
        <w:rPr>
          <w:rFonts w:cstheme="minorHAnsi"/>
          <w:sz w:val="24"/>
          <w:szCs w:val="24"/>
        </w:rPr>
        <w:t>η</w:t>
      </w:r>
      <w:r w:rsidR="001E2900" w:rsidRPr="007D493E">
        <w:rPr>
          <w:rFonts w:cstheme="minorHAnsi"/>
          <w:sz w:val="24"/>
          <w:szCs w:val="24"/>
        </w:rPr>
        <w:t xml:space="preserve"> </w:t>
      </w:r>
      <w:r w:rsidR="00E951B3" w:rsidRPr="007D493E">
        <w:rPr>
          <w:rFonts w:cstheme="minorHAnsi"/>
          <w:sz w:val="24"/>
          <w:szCs w:val="24"/>
        </w:rPr>
        <w:t>οποία</w:t>
      </w:r>
      <w:r w:rsidR="0072056E" w:rsidRPr="007D493E">
        <w:rPr>
          <w:rFonts w:cstheme="minorHAnsi"/>
          <w:sz w:val="24"/>
          <w:szCs w:val="24"/>
        </w:rPr>
        <w:t xml:space="preserve"> απευθύν</w:t>
      </w:r>
      <w:r w:rsidR="001E2900" w:rsidRPr="007D493E">
        <w:rPr>
          <w:rFonts w:cstheme="minorHAnsi"/>
          <w:sz w:val="24"/>
          <w:szCs w:val="24"/>
        </w:rPr>
        <w:t>εται</w:t>
      </w:r>
      <w:r w:rsidRPr="007D493E">
        <w:rPr>
          <w:rFonts w:cstheme="minorHAnsi"/>
          <w:sz w:val="24"/>
          <w:szCs w:val="24"/>
        </w:rPr>
        <w:t xml:space="preserve"> </w:t>
      </w:r>
      <w:r w:rsidR="00A25406" w:rsidRPr="007D493E">
        <w:rPr>
          <w:rFonts w:cstheme="minorHAnsi"/>
          <w:sz w:val="24"/>
          <w:szCs w:val="24"/>
        </w:rPr>
        <w:t>στους/στις</w:t>
      </w:r>
      <w:r w:rsidR="001E2900" w:rsidRPr="007D493E">
        <w:rPr>
          <w:rFonts w:cstheme="minorHAnsi"/>
          <w:sz w:val="24"/>
          <w:szCs w:val="24"/>
        </w:rPr>
        <w:t xml:space="preserve"> </w:t>
      </w:r>
      <w:r w:rsidR="007775BB" w:rsidRPr="007D493E">
        <w:rPr>
          <w:rFonts w:cstheme="minorHAnsi"/>
          <w:sz w:val="24"/>
          <w:szCs w:val="24"/>
        </w:rPr>
        <w:t>εκπαιδευτικούς</w:t>
      </w:r>
      <w:r w:rsidR="00214AC6" w:rsidRPr="007D493E">
        <w:rPr>
          <w:rFonts w:cstheme="minorHAnsi"/>
          <w:sz w:val="24"/>
          <w:szCs w:val="24"/>
        </w:rPr>
        <w:t xml:space="preserve"> </w:t>
      </w:r>
      <w:r w:rsidR="005F6172">
        <w:rPr>
          <w:rFonts w:cstheme="minorHAnsi"/>
          <w:sz w:val="24"/>
          <w:szCs w:val="24"/>
        </w:rPr>
        <w:t>Παράλληλης Στήριξης της Π/θμιας και Δ/θμιας Εκπαίδευσης της</w:t>
      </w:r>
      <w:r w:rsidR="00E951B3" w:rsidRPr="007D493E">
        <w:rPr>
          <w:rFonts w:cstheme="minorHAnsi"/>
          <w:sz w:val="24"/>
          <w:szCs w:val="24"/>
        </w:rPr>
        <w:t xml:space="preserve"> Περιφερειακής Ενότητας </w:t>
      </w:r>
      <w:r w:rsidR="00E951B3" w:rsidRPr="007D493E">
        <w:rPr>
          <w:rFonts w:cstheme="minorHAnsi"/>
          <w:b/>
          <w:sz w:val="24"/>
          <w:szCs w:val="24"/>
        </w:rPr>
        <w:t>Αχαΐας</w:t>
      </w:r>
      <w:r w:rsidR="005F6172">
        <w:rPr>
          <w:rFonts w:cstheme="minorHAnsi"/>
          <w:sz w:val="24"/>
          <w:szCs w:val="24"/>
        </w:rPr>
        <w:t xml:space="preserve"> και θα πραγματοποιηθεί σε συνεργασία με το 1</w:t>
      </w:r>
      <w:r w:rsidR="005F6172" w:rsidRPr="005F6172">
        <w:rPr>
          <w:rFonts w:cstheme="minorHAnsi"/>
          <w:sz w:val="24"/>
          <w:szCs w:val="24"/>
          <w:vertAlign w:val="superscript"/>
        </w:rPr>
        <w:t>ο</w:t>
      </w:r>
      <w:r w:rsidR="005F6172">
        <w:rPr>
          <w:rFonts w:cstheme="minorHAnsi"/>
          <w:sz w:val="24"/>
          <w:szCs w:val="24"/>
        </w:rPr>
        <w:t xml:space="preserve"> Κ.Ε.Σ.Υ. Αχαΐας ως ακολούθως:</w:t>
      </w:r>
    </w:p>
    <w:tbl>
      <w:tblPr>
        <w:tblpPr w:leftFromText="180" w:rightFromText="180" w:vertAnchor="text" w:horzAnchor="margin" w:tblpY="192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141"/>
        <w:gridCol w:w="2408"/>
        <w:gridCol w:w="2408"/>
        <w:gridCol w:w="2553"/>
      </w:tblGrid>
      <w:tr w:rsidR="00505E8B" w:rsidRPr="005F6172" w:rsidTr="00505E8B">
        <w:trPr>
          <w:trHeight w:val="479"/>
          <w:tblHeader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F6172" w:rsidRPr="005F6172" w:rsidRDefault="005F6172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Ημερ/νία</w:t>
            </w:r>
          </w:p>
          <w:p w:rsidR="005F6172" w:rsidRPr="005F6172" w:rsidRDefault="005F6172" w:rsidP="005F61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172">
              <w:rPr>
                <w:rFonts w:cstheme="minorHAnsi"/>
                <w:b/>
                <w:bCs/>
                <w:spacing w:val="20"/>
                <w:sz w:val="24"/>
                <w:szCs w:val="24"/>
              </w:rPr>
              <w:t>Ώρα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F6172" w:rsidRPr="005F6172" w:rsidRDefault="00505E8B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Τόπος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6172" w:rsidRPr="005F6172" w:rsidRDefault="00505E8B" w:rsidP="005F6172">
            <w:pPr>
              <w:contextualSpacing/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Θέματα Συνάντησης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F6172" w:rsidRPr="005F6172" w:rsidRDefault="00505E8B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Επιμορφωτές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F6172" w:rsidRPr="005F6172" w:rsidRDefault="00505E8B" w:rsidP="005F6172">
            <w:pPr>
              <w:rPr>
                <w:rFonts w:cstheme="minorHAnsi"/>
                <w:b/>
                <w:bCs/>
                <w:spacing w:val="2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20"/>
                <w:sz w:val="24"/>
                <w:szCs w:val="24"/>
              </w:rPr>
              <w:t>Συμμετέχοντες Εκπαιδευτικοί</w:t>
            </w:r>
          </w:p>
        </w:tc>
      </w:tr>
      <w:tr w:rsidR="00505E8B" w:rsidRPr="005F6172" w:rsidTr="00505E8B">
        <w:trPr>
          <w:trHeight w:val="106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72" w:rsidRPr="005F6172" w:rsidRDefault="005F6172" w:rsidP="005F6172">
            <w:pPr>
              <w:rPr>
                <w:rFonts w:cstheme="minorHAnsi"/>
                <w:bCs/>
                <w:sz w:val="24"/>
                <w:szCs w:val="24"/>
              </w:rPr>
            </w:pPr>
            <w:r w:rsidRPr="005F6172">
              <w:rPr>
                <w:rFonts w:cstheme="minorHAnsi"/>
                <w:bCs/>
                <w:sz w:val="24"/>
                <w:szCs w:val="24"/>
              </w:rPr>
              <w:t>Τρίτη</w:t>
            </w:r>
          </w:p>
          <w:p w:rsidR="005F6172" w:rsidRPr="005F6172" w:rsidRDefault="005F6172" w:rsidP="005F61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6172">
              <w:rPr>
                <w:rFonts w:cstheme="minorHAnsi"/>
                <w:b/>
                <w:bCs/>
                <w:sz w:val="24"/>
                <w:szCs w:val="24"/>
              </w:rPr>
              <w:t>04</w:t>
            </w:r>
            <w:r w:rsidRPr="005F6172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5F617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F6172">
              <w:rPr>
                <w:rFonts w:cstheme="minorHAnsi"/>
                <w:b/>
                <w:bCs/>
                <w:sz w:val="24"/>
                <w:szCs w:val="24"/>
              </w:rPr>
              <w:t>-2018</w:t>
            </w:r>
          </w:p>
          <w:p w:rsidR="005F6172" w:rsidRPr="005F6172" w:rsidRDefault="005F6172" w:rsidP="005F6172">
            <w:pPr>
              <w:rPr>
                <w:rFonts w:cstheme="minorHAnsi"/>
                <w:sz w:val="24"/>
                <w:szCs w:val="24"/>
              </w:rPr>
            </w:pPr>
            <w:r w:rsidRPr="005F6172">
              <w:rPr>
                <w:rFonts w:cstheme="minorHAnsi"/>
                <w:sz w:val="24"/>
                <w:szCs w:val="24"/>
              </w:rPr>
              <w:t>8.30- 13.30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72" w:rsidRPr="005F6172" w:rsidRDefault="005F6172" w:rsidP="005F6172">
            <w:pPr>
              <w:spacing w:line="276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5F6172">
              <w:rPr>
                <w:rFonts w:cstheme="minorHAnsi"/>
                <w:b/>
                <w:iCs/>
                <w:sz w:val="24"/>
                <w:szCs w:val="24"/>
              </w:rPr>
              <w:t>64</w:t>
            </w:r>
            <w:r w:rsidRPr="005F6172">
              <w:rPr>
                <w:rFonts w:cstheme="minorHAnsi"/>
                <w:b/>
                <w:iCs/>
                <w:sz w:val="24"/>
                <w:szCs w:val="24"/>
                <w:vertAlign w:val="superscript"/>
              </w:rPr>
              <w:t>ο</w:t>
            </w:r>
            <w:r w:rsidRPr="005F6172">
              <w:rPr>
                <w:rFonts w:cstheme="minorHAnsi"/>
                <w:b/>
                <w:iCs/>
                <w:sz w:val="24"/>
                <w:szCs w:val="24"/>
              </w:rPr>
              <w:t xml:space="preserve"> Δ.Σ Πάτρας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172" w:rsidRPr="00505E8B" w:rsidRDefault="005F6172" w:rsidP="005F617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05E8B">
              <w:rPr>
                <w:rFonts w:cstheme="minorHAnsi"/>
                <w:bCs/>
                <w:sz w:val="24"/>
                <w:szCs w:val="24"/>
              </w:rPr>
              <w:t xml:space="preserve">Επιμόρφωση σε θέματα </w:t>
            </w:r>
            <w:r w:rsidRPr="00505E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05E8B">
              <w:rPr>
                <w:rFonts w:cstheme="minorHAnsi"/>
                <w:bCs/>
                <w:sz w:val="24"/>
                <w:szCs w:val="24"/>
              </w:rPr>
              <w:t>καθηκοντολογίου</w:t>
            </w:r>
            <w:bookmarkStart w:id="0" w:name="_GoBack"/>
            <w:bookmarkEnd w:id="0"/>
            <w:r w:rsidRPr="00505E8B">
              <w:rPr>
                <w:rFonts w:cstheme="minorHAnsi"/>
                <w:bCs/>
                <w:sz w:val="24"/>
                <w:szCs w:val="24"/>
              </w:rPr>
              <w:t>, επιστημονικής και παιδαγωγικής διαχείρισης μαθητών με αναπηρία και/ή ειδικές εκπαιδευτικές ανάγκες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172" w:rsidRPr="005F6172" w:rsidRDefault="005F6172" w:rsidP="005F61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F6172">
              <w:rPr>
                <w:rFonts w:eastAsia="Calibri" w:cstheme="minorHAnsi"/>
                <w:b/>
                <w:sz w:val="24"/>
                <w:szCs w:val="24"/>
              </w:rPr>
              <w:t>Θεώνη Μαυρόγιαννη</w:t>
            </w:r>
            <w:r w:rsidRPr="005F6172">
              <w:rPr>
                <w:rFonts w:eastAsia="Calibri" w:cstheme="minorHAnsi"/>
                <w:sz w:val="24"/>
                <w:szCs w:val="24"/>
              </w:rPr>
              <w:t xml:space="preserve">            Προϊσταμένη</w:t>
            </w:r>
          </w:p>
          <w:p w:rsidR="005F6172" w:rsidRDefault="005F6172" w:rsidP="005F61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F6172">
              <w:rPr>
                <w:rFonts w:eastAsia="Calibri" w:cstheme="minorHAnsi"/>
                <w:sz w:val="24"/>
                <w:szCs w:val="24"/>
              </w:rPr>
              <w:t>1</w:t>
            </w:r>
            <w:r w:rsidRPr="005F6172">
              <w:rPr>
                <w:rFonts w:eastAsia="Calibri" w:cstheme="minorHAnsi"/>
                <w:sz w:val="24"/>
                <w:szCs w:val="24"/>
                <w:vertAlign w:val="superscript"/>
              </w:rPr>
              <w:t>ου</w:t>
            </w:r>
            <w:r w:rsidRPr="005F6172">
              <w:rPr>
                <w:rFonts w:eastAsia="Calibri" w:cstheme="minorHAnsi"/>
                <w:sz w:val="24"/>
                <w:szCs w:val="24"/>
              </w:rPr>
              <w:t xml:space="preserve"> Κ.Ε.Σ.Υ.  Αχαΐας</w:t>
            </w:r>
          </w:p>
          <w:p w:rsidR="00505E8B" w:rsidRDefault="00505E8B" w:rsidP="005F61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:rsidR="00505E8B" w:rsidRPr="005F6172" w:rsidRDefault="00505E8B" w:rsidP="005F61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05E8B">
              <w:rPr>
                <w:rFonts w:eastAsia="Calibri" w:cstheme="minorHAnsi"/>
                <w:b/>
                <w:sz w:val="24"/>
                <w:szCs w:val="24"/>
              </w:rPr>
              <w:t>Δημήτρης Ζησιμόπουλος</w:t>
            </w:r>
            <w:r>
              <w:rPr>
                <w:rFonts w:eastAsia="Calibri" w:cstheme="minorHAnsi"/>
                <w:sz w:val="24"/>
                <w:szCs w:val="24"/>
              </w:rPr>
              <w:t xml:space="preserve">                  ΣΕΕ Ειδικής Αγωγής και Ενταξιακής Εκπαίδευσης ΠΕΚΕΣ Δυτικής Ελλάδας </w:t>
            </w:r>
          </w:p>
          <w:p w:rsidR="005F6172" w:rsidRPr="005F6172" w:rsidRDefault="005F6172" w:rsidP="005F6172">
            <w:pPr>
              <w:spacing w:after="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72" w:rsidRPr="005F6172" w:rsidRDefault="00505E8B" w:rsidP="00505E8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Οι εκπ/κοί Παράλληλης Στήριξης της Π/θμιας και Δ/θμιας Εκπ/σης Αχαΐας</w:t>
            </w:r>
          </w:p>
        </w:tc>
      </w:tr>
    </w:tbl>
    <w:p w:rsidR="005F6172" w:rsidRPr="007D493E" w:rsidRDefault="005F6172" w:rsidP="007D493E">
      <w:pPr>
        <w:spacing w:after="0" w:line="360" w:lineRule="auto"/>
        <w:ind w:left="284" w:right="-806"/>
        <w:jc w:val="both"/>
        <w:rPr>
          <w:rFonts w:cstheme="minorHAnsi"/>
          <w:sz w:val="24"/>
          <w:szCs w:val="24"/>
        </w:rPr>
      </w:pPr>
    </w:p>
    <w:p w:rsidR="003A6DF2" w:rsidRPr="003A6DF2" w:rsidRDefault="003A6DF2" w:rsidP="00CB389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D0698C" w:rsidRDefault="00D0698C" w:rsidP="00505E8B">
      <w:pPr>
        <w:spacing w:line="360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AE3AC0" w:rsidRPr="0038506B" w:rsidRDefault="00AE3AC0" w:rsidP="00505E8B">
      <w:pPr>
        <w:pStyle w:val="a7"/>
        <w:numPr>
          <w:ilvl w:val="0"/>
          <w:numId w:val="7"/>
        </w:numPr>
        <w:spacing w:after="0" w:line="360" w:lineRule="auto"/>
        <w:ind w:left="567"/>
        <w:jc w:val="both"/>
        <w:rPr>
          <w:rFonts w:eastAsia="Calibri" w:cstheme="minorHAnsi"/>
        </w:rPr>
      </w:pPr>
      <w:r w:rsidRPr="0038506B">
        <w:rPr>
          <w:rFonts w:eastAsia="Calibri" w:cstheme="minorHAnsi"/>
        </w:rPr>
        <w:t xml:space="preserve">Σκοπός της επιμορφωτικής δράσης είναι η </w:t>
      </w:r>
      <w:r w:rsidR="00505E8B" w:rsidRPr="0038506B">
        <w:rPr>
          <w:rFonts w:eastAsia="Calibri" w:cstheme="minorHAnsi"/>
        </w:rPr>
        <w:t>επιμόρφωση των αναπληρωτών εκπαιδευτικών που προσελήφθησαν για το πρόγραμμα Παράλληλης Στήριξης σε μαθητές με αναπηρία ή/και ειδικές εκπαιδευτικές ανάγκες.</w:t>
      </w:r>
    </w:p>
    <w:p w:rsidR="00153D28" w:rsidRPr="0038506B" w:rsidRDefault="00153D28" w:rsidP="00505E8B">
      <w:pPr>
        <w:pStyle w:val="a7"/>
        <w:numPr>
          <w:ilvl w:val="0"/>
          <w:numId w:val="7"/>
        </w:numPr>
        <w:spacing w:after="0" w:line="360" w:lineRule="auto"/>
        <w:ind w:left="567"/>
        <w:jc w:val="both"/>
        <w:rPr>
          <w:rFonts w:eastAsia="Calibri" w:cstheme="minorHAnsi"/>
        </w:rPr>
      </w:pPr>
      <w:r w:rsidRPr="0038506B">
        <w:rPr>
          <w:rFonts w:eastAsia="Calibri" w:cstheme="minorHAnsi"/>
        </w:rPr>
        <w:t>Επισημαίνεται ότι οι μετακινήσεις των επιμορφωτών</w:t>
      </w:r>
      <w:r w:rsidR="00505E8B" w:rsidRPr="0038506B">
        <w:rPr>
          <w:rFonts w:eastAsia="Calibri" w:cstheme="minorHAnsi"/>
        </w:rPr>
        <w:t xml:space="preserve"> και των επιμορφούμενων </w:t>
      </w:r>
      <w:r w:rsidRPr="0038506B">
        <w:rPr>
          <w:rFonts w:eastAsia="Calibri" w:cstheme="minorHAnsi"/>
        </w:rPr>
        <w:t xml:space="preserve">θα πραγματοποιηθούν </w:t>
      </w:r>
      <w:r w:rsidRPr="0038506B">
        <w:rPr>
          <w:rFonts w:eastAsia="Calibri" w:cstheme="minorHAnsi"/>
          <w:b/>
          <w:bCs/>
        </w:rPr>
        <w:t>χωρίς δαπάνη</w:t>
      </w:r>
      <w:r w:rsidR="00802776" w:rsidRPr="0038506B">
        <w:rPr>
          <w:rFonts w:eastAsia="Calibri" w:cstheme="minorHAnsi"/>
        </w:rPr>
        <w:t xml:space="preserve"> για το Δημόσιο</w:t>
      </w:r>
      <w:r w:rsidR="00505E8B" w:rsidRPr="0038506B">
        <w:rPr>
          <w:rFonts w:eastAsia="Calibri" w:cstheme="minorHAnsi"/>
        </w:rPr>
        <w:t>.</w:t>
      </w:r>
    </w:p>
    <w:p w:rsidR="00526553" w:rsidRDefault="00526553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7F" w:rsidRDefault="00632E7F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7F" w:rsidRPr="00526553" w:rsidRDefault="00632E7F" w:rsidP="00166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B5" w:rsidRDefault="00166EB5" w:rsidP="006B415F">
      <w:pPr>
        <w:spacing w:after="0" w:line="276" w:lineRule="auto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166EB5" w:rsidRDefault="00166EB5" w:rsidP="006B415F">
      <w:pPr>
        <w:spacing w:after="0" w:line="276" w:lineRule="auto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   Π/θμιας &amp; Δ/θμιας  Εκπ/σης Δυτ. Ελλάδας    </w:t>
      </w:r>
    </w:p>
    <w:p w:rsidR="00166EB5" w:rsidRDefault="00166EB5" w:rsidP="006B41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6EB5" w:rsidRDefault="00166EB5" w:rsidP="00166E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166EB5" w:rsidRDefault="00166EB5" w:rsidP="00166E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:rsidR="00B75CF0" w:rsidRPr="00E3312B" w:rsidRDefault="00166EB5" w:rsidP="00E3312B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Κωνσταντίνος Γιαννόπουλος</w:t>
      </w:r>
    </w:p>
    <w:p w:rsidR="00F92D38" w:rsidRDefault="00F92D38" w:rsidP="00166EB5">
      <w:pPr>
        <w:spacing w:line="276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CA46FF" w:rsidRDefault="00CA46F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A86FDC" w:rsidRDefault="00A86FDC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6B415F" w:rsidRDefault="006B415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6B415F" w:rsidRDefault="006B415F" w:rsidP="00CA46FF">
      <w:pPr>
        <w:contextualSpacing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526553" w:rsidRDefault="00526553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526553" w:rsidRDefault="00526553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505E8B" w:rsidRDefault="00505E8B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505E8B" w:rsidRDefault="00505E8B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B62" w:rsidRDefault="00315B62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D6AF6" w:rsidRPr="00526553" w:rsidRDefault="00166EB5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526553">
        <w:rPr>
          <w:rFonts w:ascii="Times New Roman" w:hAnsi="Times New Roman" w:cs="Times New Roman"/>
          <w:b/>
          <w:bCs/>
          <w:sz w:val="20"/>
          <w:szCs w:val="20"/>
        </w:rPr>
        <w:t>ΑΠΟΔΕΚΤΕΣ:</w:t>
      </w:r>
    </w:p>
    <w:p w:rsidR="00166EB5" w:rsidRPr="00526553" w:rsidRDefault="00166EB5" w:rsidP="00CA46FF">
      <w:pPr>
        <w:contextualSpacing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52655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</w:p>
    <w:p w:rsidR="00166EB5" w:rsidRDefault="00632E7F" w:rsidP="00F432B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Συντονιστής Εκπαιδευτικού Έργου </w:t>
      </w:r>
      <w:r w:rsidR="00505E8B">
        <w:rPr>
          <w:rFonts w:ascii="Times New Roman" w:eastAsia="Times New Roman" w:hAnsi="Times New Roman" w:cs="Times New Roman"/>
          <w:sz w:val="20"/>
          <w:szCs w:val="20"/>
          <w:lang w:eastAsia="el-GR"/>
        </w:rPr>
        <w:t>Ε.Α.Ε.Ε.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166EB5" w:rsidRPr="00526553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κ. </w:t>
      </w:r>
      <w:r w:rsidR="00505E8B">
        <w:rPr>
          <w:rFonts w:ascii="Times New Roman" w:eastAsia="Times New Roman" w:hAnsi="Times New Roman" w:cs="Times New Roman"/>
          <w:sz w:val="20"/>
          <w:szCs w:val="20"/>
          <w:lang w:eastAsia="el-GR"/>
        </w:rPr>
        <w:t>Ζησιμόπουλος Δημήτριος</w:t>
      </w:r>
    </w:p>
    <w:p w:rsidR="00F407E3" w:rsidRPr="00526553" w:rsidRDefault="00F407E3" w:rsidP="00F432B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ΠΕ.Κ.Ε.Σ. Δυτικής Ελλάδας</w:t>
      </w:r>
    </w:p>
    <w:p w:rsidR="000F7BD9" w:rsidRDefault="000F7BD9" w:rsidP="000F7BD9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Δ/νση </w:t>
      </w:r>
      <w:r w:rsidR="00505E8B">
        <w:rPr>
          <w:rFonts w:ascii="Times New Roman" w:eastAsia="Times New Roman" w:hAnsi="Times New Roman" w:cs="Times New Roman"/>
          <w:sz w:val="20"/>
          <w:szCs w:val="20"/>
          <w:lang w:eastAsia="el-GR"/>
        </w:rPr>
        <w:t>Π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/θμιας Εκπ/σης</w:t>
      </w:r>
      <w:r w:rsidR="00F407E3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Αχαΐας</w:t>
      </w:r>
    </w:p>
    <w:p w:rsidR="00CA46FF" w:rsidRPr="000F7BD9" w:rsidRDefault="000F7BD9" w:rsidP="000F7BD9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b/>
          <w:bCs/>
          <w:sz w:val="20"/>
          <w:szCs w:val="20"/>
        </w:rPr>
      </w:pPr>
      <w:r w:rsidRPr="000F7BD9">
        <w:rPr>
          <w:rFonts w:ascii="Times New Roman" w:eastAsia="Times New Roman" w:hAnsi="Times New Roman" w:cs="Times New Roman"/>
          <w:sz w:val="20"/>
          <w:szCs w:val="20"/>
          <w:lang w:eastAsia="el-GR"/>
        </w:rPr>
        <w:t>Δ/νση Δ/θμιας Εκπ/σης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="00505E8B">
        <w:rPr>
          <w:rFonts w:ascii="Times New Roman" w:eastAsia="Times New Roman" w:hAnsi="Times New Roman" w:cs="Times New Roman"/>
          <w:sz w:val="20"/>
          <w:szCs w:val="20"/>
          <w:lang w:eastAsia="el-GR"/>
        </w:rPr>
        <w:t>Αχαΐας</w:t>
      </w:r>
      <w:r w:rsidR="009070CF" w:rsidRPr="000F7BD9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sectPr w:rsidR="00CA46FF" w:rsidRPr="000F7BD9" w:rsidSect="005F6172">
      <w:footerReference w:type="default" r:id="rId10"/>
      <w:pgSz w:w="11906" w:h="16838"/>
      <w:pgMar w:top="851" w:right="1841" w:bottom="1418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B3" w:rsidRDefault="00F10FB3" w:rsidP="004465EC">
      <w:pPr>
        <w:spacing w:after="0"/>
      </w:pPr>
      <w:r>
        <w:separator/>
      </w:r>
    </w:p>
  </w:endnote>
  <w:endnote w:type="continuationSeparator" w:id="0">
    <w:p w:rsidR="00F10FB3" w:rsidRDefault="00F10FB3" w:rsidP="00446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1020"/>
      <w:docPartObj>
        <w:docPartGallery w:val="Page Numbers (Bottom of Page)"/>
        <w:docPartUnique/>
      </w:docPartObj>
    </w:sdtPr>
    <w:sdtEndPr/>
    <w:sdtContent>
      <w:p w:rsidR="004465EC" w:rsidRDefault="004465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6B">
          <w:rPr>
            <w:noProof/>
          </w:rPr>
          <w:t>2</w:t>
        </w:r>
        <w:r>
          <w:fldChar w:fldCharType="end"/>
        </w:r>
      </w:p>
    </w:sdtContent>
  </w:sdt>
  <w:p w:rsidR="004465EC" w:rsidRDefault="004465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B3" w:rsidRDefault="00F10FB3" w:rsidP="004465EC">
      <w:pPr>
        <w:spacing w:after="0"/>
      </w:pPr>
      <w:r>
        <w:separator/>
      </w:r>
    </w:p>
  </w:footnote>
  <w:footnote w:type="continuationSeparator" w:id="0">
    <w:p w:rsidR="00F10FB3" w:rsidRDefault="00F10FB3" w:rsidP="004465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C7419"/>
    <w:multiLevelType w:val="hybridMultilevel"/>
    <w:tmpl w:val="2C3E9322"/>
    <w:lvl w:ilvl="0" w:tplc="1EAE7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696C42"/>
    <w:multiLevelType w:val="hybridMultilevel"/>
    <w:tmpl w:val="0B5299C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D91A3A"/>
    <w:multiLevelType w:val="hybridMultilevel"/>
    <w:tmpl w:val="B630BE66"/>
    <w:lvl w:ilvl="0" w:tplc="1EAE7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5"/>
    <w:rsid w:val="0000638D"/>
    <w:rsid w:val="000147A6"/>
    <w:rsid w:val="00025258"/>
    <w:rsid w:val="00036B9A"/>
    <w:rsid w:val="00041705"/>
    <w:rsid w:val="00052741"/>
    <w:rsid w:val="0005377B"/>
    <w:rsid w:val="000704FB"/>
    <w:rsid w:val="00080652"/>
    <w:rsid w:val="0008284A"/>
    <w:rsid w:val="00082A60"/>
    <w:rsid w:val="0008727A"/>
    <w:rsid w:val="00087483"/>
    <w:rsid w:val="00087D14"/>
    <w:rsid w:val="00094518"/>
    <w:rsid w:val="000967F5"/>
    <w:rsid w:val="000972E0"/>
    <w:rsid w:val="000A4E4A"/>
    <w:rsid w:val="000A6955"/>
    <w:rsid w:val="000D2790"/>
    <w:rsid w:val="000D6592"/>
    <w:rsid w:val="000E062E"/>
    <w:rsid w:val="000E27CB"/>
    <w:rsid w:val="000F7BD9"/>
    <w:rsid w:val="00107463"/>
    <w:rsid w:val="001444D0"/>
    <w:rsid w:val="00153D28"/>
    <w:rsid w:val="00160AC0"/>
    <w:rsid w:val="00166EB5"/>
    <w:rsid w:val="00171CD8"/>
    <w:rsid w:val="00174898"/>
    <w:rsid w:val="00177A88"/>
    <w:rsid w:val="00183E2B"/>
    <w:rsid w:val="00184B2B"/>
    <w:rsid w:val="001B0F78"/>
    <w:rsid w:val="001B353D"/>
    <w:rsid w:val="001C5B11"/>
    <w:rsid w:val="001D75C3"/>
    <w:rsid w:val="001E2900"/>
    <w:rsid w:val="00214AC6"/>
    <w:rsid w:val="002157A9"/>
    <w:rsid w:val="00223B9E"/>
    <w:rsid w:val="002243A6"/>
    <w:rsid w:val="00224F35"/>
    <w:rsid w:val="0023308F"/>
    <w:rsid w:val="002567CB"/>
    <w:rsid w:val="00270382"/>
    <w:rsid w:val="002868AA"/>
    <w:rsid w:val="00290C0B"/>
    <w:rsid w:val="00293D54"/>
    <w:rsid w:val="002A0A0D"/>
    <w:rsid w:val="002B4403"/>
    <w:rsid w:val="002C0478"/>
    <w:rsid w:val="002C3FFE"/>
    <w:rsid w:val="002D0166"/>
    <w:rsid w:val="002D337F"/>
    <w:rsid w:val="002D6AF6"/>
    <w:rsid w:val="002E11AE"/>
    <w:rsid w:val="002F0479"/>
    <w:rsid w:val="002F7BEC"/>
    <w:rsid w:val="0030632B"/>
    <w:rsid w:val="00307465"/>
    <w:rsid w:val="00310D2F"/>
    <w:rsid w:val="00315B62"/>
    <w:rsid w:val="00331069"/>
    <w:rsid w:val="00332C9A"/>
    <w:rsid w:val="003340BF"/>
    <w:rsid w:val="00337041"/>
    <w:rsid w:val="00342E6D"/>
    <w:rsid w:val="00347F00"/>
    <w:rsid w:val="00361673"/>
    <w:rsid w:val="00377C29"/>
    <w:rsid w:val="00384E9C"/>
    <w:rsid w:val="0038506B"/>
    <w:rsid w:val="00396C69"/>
    <w:rsid w:val="00397558"/>
    <w:rsid w:val="003A03FC"/>
    <w:rsid w:val="003A6DF2"/>
    <w:rsid w:val="003A7E72"/>
    <w:rsid w:val="003B710D"/>
    <w:rsid w:val="003B74C2"/>
    <w:rsid w:val="003C2611"/>
    <w:rsid w:val="003C775B"/>
    <w:rsid w:val="003F1B1B"/>
    <w:rsid w:val="003F4A47"/>
    <w:rsid w:val="00404F16"/>
    <w:rsid w:val="00407F34"/>
    <w:rsid w:val="00416C2D"/>
    <w:rsid w:val="004465EC"/>
    <w:rsid w:val="004523BF"/>
    <w:rsid w:val="00467FEF"/>
    <w:rsid w:val="00482234"/>
    <w:rsid w:val="00482B8E"/>
    <w:rsid w:val="00496D1C"/>
    <w:rsid w:val="004A792E"/>
    <w:rsid w:val="004B5245"/>
    <w:rsid w:val="004E556D"/>
    <w:rsid w:val="004F1444"/>
    <w:rsid w:val="004F4EB9"/>
    <w:rsid w:val="00500968"/>
    <w:rsid w:val="00505E8B"/>
    <w:rsid w:val="00516594"/>
    <w:rsid w:val="00516C33"/>
    <w:rsid w:val="00520E32"/>
    <w:rsid w:val="005251C3"/>
    <w:rsid w:val="00526553"/>
    <w:rsid w:val="00530D00"/>
    <w:rsid w:val="00536F8D"/>
    <w:rsid w:val="00556215"/>
    <w:rsid w:val="00563239"/>
    <w:rsid w:val="00571882"/>
    <w:rsid w:val="00571FCE"/>
    <w:rsid w:val="005731CF"/>
    <w:rsid w:val="00585BFF"/>
    <w:rsid w:val="00585D89"/>
    <w:rsid w:val="00592B12"/>
    <w:rsid w:val="00592DC3"/>
    <w:rsid w:val="005A5D0B"/>
    <w:rsid w:val="005B364C"/>
    <w:rsid w:val="005D3433"/>
    <w:rsid w:val="005D485A"/>
    <w:rsid w:val="005F5741"/>
    <w:rsid w:val="005F6172"/>
    <w:rsid w:val="005F67F2"/>
    <w:rsid w:val="005F6B63"/>
    <w:rsid w:val="00600933"/>
    <w:rsid w:val="0060288C"/>
    <w:rsid w:val="00603196"/>
    <w:rsid w:val="00606A0B"/>
    <w:rsid w:val="00632C88"/>
    <w:rsid w:val="00632E7F"/>
    <w:rsid w:val="00633E84"/>
    <w:rsid w:val="006431C3"/>
    <w:rsid w:val="00653223"/>
    <w:rsid w:val="00662725"/>
    <w:rsid w:val="00672DE3"/>
    <w:rsid w:val="00691DC0"/>
    <w:rsid w:val="00696F50"/>
    <w:rsid w:val="006A0F35"/>
    <w:rsid w:val="006B0843"/>
    <w:rsid w:val="006B293C"/>
    <w:rsid w:val="006B415F"/>
    <w:rsid w:val="006C765D"/>
    <w:rsid w:val="006D0C68"/>
    <w:rsid w:val="006D484D"/>
    <w:rsid w:val="006D4F73"/>
    <w:rsid w:val="006D686E"/>
    <w:rsid w:val="006E7C51"/>
    <w:rsid w:val="006F005B"/>
    <w:rsid w:val="006F45BD"/>
    <w:rsid w:val="00712972"/>
    <w:rsid w:val="00714BBA"/>
    <w:rsid w:val="0072056E"/>
    <w:rsid w:val="00723755"/>
    <w:rsid w:val="007420F8"/>
    <w:rsid w:val="0074597F"/>
    <w:rsid w:val="00751ED9"/>
    <w:rsid w:val="00774009"/>
    <w:rsid w:val="007747C3"/>
    <w:rsid w:val="007775BB"/>
    <w:rsid w:val="00777802"/>
    <w:rsid w:val="007A6499"/>
    <w:rsid w:val="007B3276"/>
    <w:rsid w:val="007B3954"/>
    <w:rsid w:val="007C4291"/>
    <w:rsid w:val="007C69DE"/>
    <w:rsid w:val="007D493E"/>
    <w:rsid w:val="007F00CC"/>
    <w:rsid w:val="00801066"/>
    <w:rsid w:val="00801905"/>
    <w:rsid w:val="00802776"/>
    <w:rsid w:val="008158EF"/>
    <w:rsid w:val="008168CE"/>
    <w:rsid w:val="00833F83"/>
    <w:rsid w:val="00834344"/>
    <w:rsid w:val="00842F4E"/>
    <w:rsid w:val="00872324"/>
    <w:rsid w:val="008729C1"/>
    <w:rsid w:val="0087386F"/>
    <w:rsid w:val="00876EFD"/>
    <w:rsid w:val="00877DA7"/>
    <w:rsid w:val="00892118"/>
    <w:rsid w:val="008A1896"/>
    <w:rsid w:val="008A3BB1"/>
    <w:rsid w:val="008A54EA"/>
    <w:rsid w:val="008B1D6A"/>
    <w:rsid w:val="008B5CB9"/>
    <w:rsid w:val="008B65C0"/>
    <w:rsid w:val="008D5E6B"/>
    <w:rsid w:val="008D6115"/>
    <w:rsid w:val="008F1096"/>
    <w:rsid w:val="009070CF"/>
    <w:rsid w:val="009116A3"/>
    <w:rsid w:val="00920B61"/>
    <w:rsid w:val="009460A2"/>
    <w:rsid w:val="00982017"/>
    <w:rsid w:val="00985E46"/>
    <w:rsid w:val="00992974"/>
    <w:rsid w:val="00997BC1"/>
    <w:rsid w:val="009A34FB"/>
    <w:rsid w:val="009A60C4"/>
    <w:rsid w:val="009B5098"/>
    <w:rsid w:val="009C45DE"/>
    <w:rsid w:val="009C57E1"/>
    <w:rsid w:val="009D6117"/>
    <w:rsid w:val="009E1632"/>
    <w:rsid w:val="009E388C"/>
    <w:rsid w:val="009F07EA"/>
    <w:rsid w:val="009F51C9"/>
    <w:rsid w:val="00A21A2B"/>
    <w:rsid w:val="00A23651"/>
    <w:rsid w:val="00A25406"/>
    <w:rsid w:val="00A34455"/>
    <w:rsid w:val="00A51168"/>
    <w:rsid w:val="00A728EF"/>
    <w:rsid w:val="00A72C06"/>
    <w:rsid w:val="00A77D6E"/>
    <w:rsid w:val="00A81D1C"/>
    <w:rsid w:val="00A86FDC"/>
    <w:rsid w:val="00A93BE0"/>
    <w:rsid w:val="00AA0C6D"/>
    <w:rsid w:val="00AA3520"/>
    <w:rsid w:val="00AB0788"/>
    <w:rsid w:val="00AB1630"/>
    <w:rsid w:val="00AB3734"/>
    <w:rsid w:val="00AC6541"/>
    <w:rsid w:val="00AE3AC0"/>
    <w:rsid w:val="00AE6B9B"/>
    <w:rsid w:val="00AF2B38"/>
    <w:rsid w:val="00AF74CD"/>
    <w:rsid w:val="00B048FE"/>
    <w:rsid w:val="00B45582"/>
    <w:rsid w:val="00B4675E"/>
    <w:rsid w:val="00B551AD"/>
    <w:rsid w:val="00B714A6"/>
    <w:rsid w:val="00B731CB"/>
    <w:rsid w:val="00B75CF0"/>
    <w:rsid w:val="00B77F39"/>
    <w:rsid w:val="00B8075F"/>
    <w:rsid w:val="00B95C91"/>
    <w:rsid w:val="00BA10F4"/>
    <w:rsid w:val="00BC4130"/>
    <w:rsid w:val="00BC4427"/>
    <w:rsid w:val="00BD09A1"/>
    <w:rsid w:val="00BF1671"/>
    <w:rsid w:val="00BF1692"/>
    <w:rsid w:val="00BF751E"/>
    <w:rsid w:val="00BF7F9F"/>
    <w:rsid w:val="00C0174F"/>
    <w:rsid w:val="00C01AC6"/>
    <w:rsid w:val="00C02125"/>
    <w:rsid w:val="00C03E62"/>
    <w:rsid w:val="00C12404"/>
    <w:rsid w:val="00C40D20"/>
    <w:rsid w:val="00C52D6A"/>
    <w:rsid w:val="00C57C01"/>
    <w:rsid w:val="00C84E88"/>
    <w:rsid w:val="00C85102"/>
    <w:rsid w:val="00CA1DE2"/>
    <w:rsid w:val="00CA30B6"/>
    <w:rsid w:val="00CA46FF"/>
    <w:rsid w:val="00CB1254"/>
    <w:rsid w:val="00CB3896"/>
    <w:rsid w:val="00CD6F34"/>
    <w:rsid w:val="00CF4596"/>
    <w:rsid w:val="00CF6547"/>
    <w:rsid w:val="00D009B1"/>
    <w:rsid w:val="00D0698C"/>
    <w:rsid w:val="00D12987"/>
    <w:rsid w:val="00D14D95"/>
    <w:rsid w:val="00D249AB"/>
    <w:rsid w:val="00D2532A"/>
    <w:rsid w:val="00D268DA"/>
    <w:rsid w:val="00D27398"/>
    <w:rsid w:val="00D3063F"/>
    <w:rsid w:val="00D31C35"/>
    <w:rsid w:val="00D76114"/>
    <w:rsid w:val="00DA3E80"/>
    <w:rsid w:val="00DA6281"/>
    <w:rsid w:val="00DA6B50"/>
    <w:rsid w:val="00DB2D64"/>
    <w:rsid w:val="00DD525B"/>
    <w:rsid w:val="00DE0E6A"/>
    <w:rsid w:val="00DE399B"/>
    <w:rsid w:val="00DE58EB"/>
    <w:rsid w:val="00E05589"/>
    <w:rsid w:val="00E06947"/>
    <w:rsid w:val="00E3312B"/>
    <w:rsid w:val="00E37F3E"/>
    <w:rsid w:val="00E40691"/>
    <w:rsid w:val="00E47FDF"/>
    <w:rsid w:val="00E53103"/>
    <w:rsid w:val="00E9451A"/>
    <w:rsid w:val="00E951B3"/>
    <w:rsid w:val="00E97D17"/>
    <w:rsid w:val="00EA0588"/>
    <w:rsid w:val="00EA182D"/>
    <w:rsid w:val="00EA40D1"/>
    <w:rsid w:val="00EB6C64"/>
    <w:rsid w:val="00EE0E72"/>
    <w:rsid w:val="00EE2DFB"/>
    <w:rsid w:val="00F04B3D"/>
    <w:rsid w:val="00F10FB3"/>
    <w:rsid w:val="00F17B05"/>
    <w:rsid w:val="00F2041C"/>
    <w:rsid w:val="00F21F34"/>
    <w:rsid w:val="00F26B7A"/>
    <w:rsid w:val="00F407E3"/>
    <w:rsid w:val="00F40A3D"/>
    <w:rsid w:val="00F432B0"/>
    <w:rsid w:val="00F51566"/>
    <w:rsid w:val="00F5332E"/>
    <w:rsid w:val="00F567DA"/>
    <w:rsid w:val="00F64D67"/>
    <w:rsid w:val="00F6697E"/>
    <w:rsid w:val="00F84A7F"/>
    <w:rsid w:val="00F92CC9"/>
    <w:rsid w:val="00F92D38"/>
    <w:rsid w:val="00F94E8E"/>
    <w:rsid w:val="00FA0EC1"/>
    <w:rsid w:val="00FA5A82"/>
    <w:rsid w:val="00FC2522"/>
    <w:rsid w:val="00FC2C69"/>
    <w:rsid w:val="00FD0BB7"/>
    <w:rsid w:val="00FE6F3F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FC9E-F254-42D1-8842-4F923E6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6EB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465E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4465EC"/>
  </w:style>
  <w:style w:type="paragraph" w:styleId="a4">
    <w:name w:val="footer"/>
    <w:basedOn w:val="a"/>
    <w:link w:val="Char0"/>
    <w:uiPriority w:val="99"/>
    <w:unhideWhenUsed/>
    <w:rsid w:val="004465E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465EC"/>
  </w:style>
  <w:style w:type="paragraph" w:styleId="a5">
    <w:name w:val="Balloon Text"/>
    <w:basedOn w:val="a"/>
    <w:link w:val="Char1"/>
    <w:uiPriority w:val="99"/>
    <w:semiHidden/>
    <w:unhideWhenUsed/>
    <w:rsid w:val="000D65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D6592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2"/>
    <w:rsid w:val="003F4A47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3F4A4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List Paragraph"/>
    <w:basedOn w:val="a"/>
    <w:qFormat/>
    <w:rsid w:val="004F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AA265SEL17</cp:lastModifiedBy>
  <cp:revision>2</cp:revision>
  <cp:lastPrinted>2016-11-15T08:12:00Z</cp:lastPrinted>
  <dcterms:created xsi:type="dcterms:W3CDTF">2018-11-27T08:55:00Z</dcterms:created>
  <dcterms:modified xsi:type="dcterms:W3CDTF">2018-11-27T08:55:00Z</dcterms:modified>
</cp:coreProperties>
</file>